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1CAA" w14:textId="0A99BED8" w:rsidR="00384216" w:rsidRDefault="006102CD" w:rsidP="00C01BDB">
      <w:pPr>
        <w:pStyle w:val="Ttulo"/>
        <w:spacing w:before="0" w:after="0" w:line="240" w:lineRule="auto"/>
        <w:ind w:right="-142"/>
        <w:jc w:val="center"/>
        <w:rPr>
          <w:rFonts w:ascii="IberPangea" w:hAnsi="IberPangea" w:cs="IberPangea"/>
          <w:color w:val="00A443"/>
          <w:sz w:val="36"/>
          <w:szCs w:val="36"/>
        </w:rPr>
      </w:pPr>
      <w:bookmarkStart w:id="0" w:name="_Hlk172041647"/>
      <w:r>
        <w:rPr>
          <w:rFonts w:ascii="IberPangea" w:hAnsi="IberPangea" w:cs="IberPangea"/>
          <w:color w:val="00A443"/>
          <w:sz w:val="36"/>
          <w:szCs w:val="36"/>
        </w:rPr>
        <w:t xml:space="preserve">Hitachi Astemo se alía con Iberdrola México para </w:t>
      </w:r>
      <w:r w:rsidR="007C1B19">
        <w:rPr>
          <w:rFonts w:ascii="IberPangea" w:hAnsi="IberPangea" w:cs="IberPangea"/>
          <w:color w:val="00A443"/>
          <w:sz w:val="36"/>
          <w:szCs w:val="36"/>
        </w:rPr>
        <w:t>reducir su huella de carbono</w:t>
      </w:r>
    </w:p>
    <w:bookmarkEnd w:id="0"/>
    <w:p w14:paraId="3F5C6CC8" w14:textId="77777777" w:rsidR="0054017A" w:rsidRPr="00C24D13" w:rsidRDefault="0054017A" w:rsidP="007C1B19">
      <w:pPr>
        <w:spacing w:line="276" w:lineRule="auto"/>
        <w:ind w:right="758"/>
        <w:rPr>
          <w:szCs w:val="22"/>
          <w:lang w:eastAsia="ja-JP"/>
        </w:rPr>
      </w:pPr>
    </w:p>
    <w:p w14:paraId="3FB485C2" w14:textId="0E9FF889" w:rsidR="0054017A" w:rsidRPr="00C24D13" w:rsidRDefault="006102CD" w:rsidP="007C1B19">
      <w:pPr>
        <w:numPr>
          <w:ilvl w:val="0"/>
          <w:numId w:val="5"/>
        </w:numPr>
        <w:spacing w:after="0" w:line="276" w:lineRule="auto"/>
        <w:ind w:left="578" w:right="758" w:hanging="360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compañía líder en fabricación de componentes 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del sector </w:t>
      </w:r>
      <w:r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automotr</w:t>
      </w:r>
      <w:r w:rsidR="00C24D13"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z </w:t>
      </w:r>
      <w:r w:rsidR="00C24D13"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contará con </w:t>
      </w:r>
      <w:r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cinco sistemas de generación distribuida Smart Solar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C24D13" w:rsidRPr="00C24D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gracias a un acuerdo con Iberdrola México</w:t>
      </w:r>
      <w:r w:rsidR="001077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0D954355" w14:textId="77777777" w:rsidR="002F5562" w:rsidRPr="00C24D13" w:rsidRDefault="002F5562" w:rsidP="002F5562">
      <w:pPr>
        <w:rPr>
          <w:szCs w:val="22"/>
          <w:lang w:eastAsia="ja-JP"/>
        </w:rPr>
      </w:pPr>
    </w:p>
    <w:p w14:paraId="1A8DDFF1" w14:textId="717F8660" w:rsidR="006102CD" w:rsidRPr="007C1B19" w:rsidRDefault="00CC0BDC" w:rsidP="00F01DD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C360F2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22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6656A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julio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2024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bookmarkStart w:id="1" w:name="_Hlk172041668"/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la puesta en marcha de un sistema fotovoltaico en su planta de Querétaro, la empresa Hitachi Astemo 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celebró con 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092496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inicio de 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una alianza </w:t>
      </w:r>
      <w:r w:rsidR="002D294F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E1856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impulsar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sus 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metas de descarbonización y de reducción de emisiones</w:t>
      </w:r>
      <w:r w:rsidR="002D294F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 w:rsidR="006102CD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</w:p>
    <w:bookmarkEnd w:id="1"/>
    <w:p w14:paraId="31BABF11" w14:textId="77777777" w:rsidR="002D294F" w:rsidRPr="007C1B19" w:rsidRDefault="002D294F" w:rsidP="00F01DD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6A4B868" w14:textId="12F3A9E8" w:rsidR="00C24D13" w:rsidRPr="00CE0780" w:rsidRDefault="002D294F" w:rsidP="00F01DDB">
      <w:pPr>
        <w:pStyle w:val="NormalWeb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bookmarkStart w:id="2" w:name="_Hlk172041763"/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657E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instalación de paneles solare</w:t>
      </w:r>
      <w:r w:rsidR="006759F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="00657E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</w:t>
      </w:r>
      <w:r w:rsidR="00657EB9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nuestra planta de Hitachi</w:t>
      </w:r>
      <w:r w:rsidR="006759F2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Astemo</w:t>
      </w:r>
      <w:r w:rsidR="00657EB9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Querétaro </w:t>
      </w:r>
      <w:r w:rsidR="00657E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nos permitirá reducir la huella de carbono en todos nuestros procesos. Sin duda, esta alianza con Iberdrola México nos permite trabajar unidos para crear una sociedad más sostenible”,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afirmó el director de la planta, Tak</w:t>
      </w:r>
      <w:r w:rsidR="00B83138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</w:t>
      </w:r>
      <w:r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shi Murakami</w:t>
      </w:r>
      <w:r w:rsidR="00C24D13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</w:t>
      </w:r>
      <w:r w:rsidR="001F3390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durante el evento inaugural en Querétaro del Smart Solar </w:t>
      </w:r>
      <w:r w:rsidR="007C1B19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que </w:t>
      </w:r>
      <w:r w:rsidR="001F3390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Iberdrola México</w:t>
      </w:r>
      <w:r w:rsidR="007C1B19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construyó para la multinacional de origen japonés.</w:t>
      </w:r>
      <w:r w:rsidR="00C24D13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</w:t>
      </w:r>
    </w:p>
    <w:p w14:paraId="6E8A3548" w14:textId="4798CECF" w:rsidR="00C24D13" w:rsidRDefault="00C24D13" w:rsidP="00F01DDB">
      <w:pPr>
        <w:pStyle w:val="NormalWeb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bookmarkStart w:id="3" w:name="_Hlk172041812"/>
      <w:bookmarkEnd w:id="2"/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Gracias a un acuerdo comercial con la energética, además de Querétaro</w:t>
      </w:r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 Hita</w:t>
      </w:r>
      <w:r w:rsidR="00B83138"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c</w:t>
      </w:r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hi Astemo </w:t>
      </w:r>
      <w:r w:rsidR="007C1B19"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cuenta </w:t>
      </w:r>
      <w:r w:rsidR="00657EB9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hoy 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sistemas Smart Solar 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sus plantas de San Luis Potosí y Lerma 2 (Estado de México)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a los que se sumarán otros dos 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</w:t>
      </w:r>
      <w:r w:rsidR="00A65C5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las plantas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Lerma 1 y Lerma 3, que </w:t>
      </w:r>
      <w:r w:rsid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encuentran 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fase de construcción</w:t>
      </w:r>
      <w:r w:rsidR="00A65C5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el mismo estado.</w:t>
      </w:r>
    </w:p>
    <w:bookmarkEnd w:id="3"/>
    <w:p w14:paraId="0DF747F6" w14:textId="04F54A5C" w:rsidR="00A4396F" w:rsidRPr="007C1B19" w:rsidRDefault="001F3390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“Smart Solar es una excelente alternativa para descarbonizar los procesos industriales a través de la energía </w:t>
      </w:r>
      <w:r w:rsidR="000A219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fotovoltaica,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permite a los negocios no solo ser más eficientes y verdes, sino</w:t>
      </w:r>
      <w:r w:rsidR="00CE078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también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trabajar a costos más competitivos”, dijo </w:t>
      </w:r>
      <w:r w:rsidR="00A65C5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Vicente Aparicio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A65C5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director Comercial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Iberdrola México</w:t>
      </w:r>
      <w:bookmarkStart w:id="4" w:name="_Hlk172041852"/>
    </w:p>
    <w:p w14:paraId="625C8B26" w14:textId="77777777" w:rsidR="00C57820" w:rsidRPr="00C57820" w:rsidRDefault="00C57820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bookmarkStart w:id="5" w:name="_Hlk172041880"/>
      <w:bookmarkEnd w:id="4"/>
      <w:r w:rsidRPr="00C5782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sistema instalado por Iberdrola México en la planta de Querétaro de Hitachi </w:t>
      </w:r>
      <w:proofErr w:type="spellStart"/>
      <w:r w:rsidRPr="00C5782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Astemo</w:t>
      </w:r>
      <w:proofErr w:type="spellEnd"/>
      <w:r w:rsidRPr="00C5782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cuenta con 1,100 módulos fotovoltaicos que suman 499 kilowatts de potencia, capaces de producir en su totalidad unos 990 </w:t>
      </w:r>
      <w:proofErr w:type="spellStart"/>
      <w:r w:rsidRPr="00C5782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MWh</w:t>
      </w:r>
      <w:proofErr w:type="spellEnd"/>
      <w:r w:rsidRPr="00C5782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al año y evitar la emisión de 450 toneladas de dióxido de carbono (CO2) al año. </w:t>
      </w:r>
    </w:p>
    <w:p w14:paraId="62906E20" w14:textId="6261F0B7" w:rsidR="00A4396F" w:rsidRDefault="00A4396F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Fernando Gómez, gerente de Mantenimiento de Hitachi Astemo en Querétaro, explicó que los paneles se colocaron en la techumbre de la planta para un mayor aprovechamiento de la radiación solar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59DD9F95" w14:textId="729D3F23" w:rsidR="00A4396F" w:rsidRPr="00A65C5E" w:rsidRDefault="00A4396F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bookmarkStart w:id="6" w:name="_Hlk172041935"/>
      <w:bookmarkEnd w:id="5"/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una superficie de más de 20 hectáreas y 800 metros cuadrados de construcción, Hitachi Astemo Querétaro emplea a cerca de 2,000 personas y cuenta con dos unidades de producción, </w:t>
      </w:r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una de frenos y otra de </w:t>
      </w:r>
      <w:r w:rsidR="00135D64"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suspensiones</w:t>
      </w:r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, siendo una de las 6 instalaciones </w:t>
      </w:r>
      <w:r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de la multinacional en el país.</w:t>
      </w:r>
    </w:p>
    <w:bookmarkEnd w:id="6"/>
    <w:p w14:paraId="63488949" w14:textId="18F2BFAB" w:rsidR="00C360F2" w:rsidRDefault="00A4396F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Con 90,000 colaboradores alrededor del mundo, Hitachi </w:t>
      </w:r>
      <w:proofErr w:type="spellStart"/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Astemo</w:t>
      </w:r>
      <w:proofErr w:type="spellEnd"/>
      <w:r w:rsidRPr="00A65C5E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tiene como meta </w:t>
      </w:r>
      <w:r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global alcanzar la neutralidad en emisiones de carbono para el 2030</w:t>
      </w:r>
      <w:r w:rsidR="001C5A3A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, haciendo honor a su absoluto</w:t>
      </w:r>
      <w:r w:rsidR="00DC201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:</w:t>
      </w:r>
      <w:r w:rsidR="001C5A3A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“</w:t>
      </w:r>
      <w:r w:rsidR="00DC201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E</w:t>
      </w:r>
      <w:r w:rsidR="001C5A3A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n </w:t>
      </w:r>
      <w:proofErr w:type="spellStart"/>
      <w:r w:rsidR="001C5A3A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>Astemo</w:t>
      </w:r>
      <w:proofErr w:type="spellEnd"/>
      <w:r w:rsidR="001C5A3A" w:rsidRPr="00CE0780"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  <w:t xml:space="preserve"> somos conscientes de nuestros aspectos ambientales y de la protección al entorno”.</w:t>
      </w:r>
    </w:p>
    <w:p w14:paraId="312C23EF" w14:textId="77777777" w:rsidR="00DE1FA4" w:rsidRDefault="00DE1FA4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03522B26" w14:textId="77777777" w:rsidR="00DE1FA4" w:rsidRPr="00CE0780" w:rsidRDefault="00DE1FA4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000000" w:themeColor="text1"/>
          <w:szCs w:val="20"/>
          <w:lang w:val="es-MX"/>
        </w:rPr>
      </w:pPr>
    </w:p>
    <w:p w14:paraId="50B78F51" w14:textId="7A744ABA" w:rsidR="00A65C5E" w:rsidRPr="00A4396F" w:rsidRDefault="00F01DDB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lastRenderedPageBreak/>
        <w:t>SOLUCIÓN</w:t>
      </w:r>
      <w:r w:rsidR="00A4396F" w:rsidRPr="00A4396F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 xml:space="preserve"> INTELIGENTE</w:t>
      </w:r>
    </w:p>
    <w:p w14:paraId="06782A91" w14:textId="2398D3EE" w:rsidR="00CA1657" w:rsidRPr="00857EE0" w:rsidRDefault="00CA1657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“Iberdrola México trabaja para brindar herramientas que impulsen la transición hacia procesos más limpios y sostenibles, acompañando el crecimiento de la industria mexicana con sus Smart </w:t>
      </w:r>
      <w:proofErr w:type="spellStart"/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Solutions</w:t>
      </w:r>
      <w:proofErr w:type="spellEnd"/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 explicó Vicente Aparicio.</w:t>
      </w:r>
    </w:p>
    <w:p w14:paraId="223B25DC" w14:textId="47532ED0" w:rsidR="00364F76" w:rsidRDefault="00CA1657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Entre estas soluciones de descarbonización sobresale Smart Solar, a través de la cual ofrece a las empresas los beneficios de la energía solar en sitio. Con la instalación de sistemas fotovoltaicos en los techos de sus edificios</w:t>
      </w:r>
      <w:r w:rsid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-como es el caso de la planta de Hitachi Astemo Querétaro-,</w:t>
      </w:r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estacionamientos u otros espacios desaprovechados, </w:t>
      </w:r>
      <w:r w:rsidR="009D1B1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se logra la</w:t>
      </w:r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reducción de emisiones de dióxido de carbono (CO2)</w:t>
      </w:r>
      <w:r w:rsidR="00DC201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al tiempo que </w:t>
      </w:r>
      <w:r w:rsidRPr="00857EE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obtienen ahorros en las facturas </w:t>
      </w:r>
      <w:r w:rsidR="00DC201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eléctricas.</w:t>
      </w:r>
    </w:p>
    <w:p w14:paraId="09056341" w14:textId="605E05AB" w:rsidR="00A4396F" w:rsidRPr="00477AEE" w:rsidRDefault="009D1B15" w:rsidP="00F01DDB">
      <w:pPr>
        <w:spacing w:before="240" w:after="0" w:line="240" w:lineRule="auto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9D1B1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este proceso, </w:t>
      </w:r>
      <w:r w:rsidR="00CA1657" w:rsidRPr="009D1B1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Iberdrola México asume los riesgos financieros y tecnológicos</w:t>
      </w:r>
      <w:r w:rsidRPr="009D1B1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del proyecto</w:t>
      </w:r>
      <w:r w:rsidR="00CA1657" w:rsidRPr="009D1B1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y también da seguimiento a la parte regulatoria para que el cliente industrial pueda concentrarse en atender su negocio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concluyó el director Comercial.</w:t>
      </w:r>
    </w:p>
    <w:p w14:paraId="4004997F" w14:textId="77777777" w:rsidR="003628EE" w:rsidRDefault="003628EE" w:rsidP="00C360F2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highlight w:val="yellow"/>
          <w:lang w:val="es-MX"/>
        </w:rPr>
      </w:pPr>
    </w:p>
    <w:p w14:paraId="76E26CA4" w14:textId="14A2BD78" w:rsidR="00DC2CCC" w:rsidRPr="00CE0780" w:rsidRDefault="00DC2CCC" w:rsidP="00C360F2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CE0780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Hitachi </w:t>
      </w:r>
      <w:proofErr w:type="spellStart"/>
      <w:r w:rsidR="00A605EE" w:rsidRPr="00CE0780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Astemo</w:t>
      </w:r>
      <w:proofErr w:type="spellEnd"/>
      <w:r w:rsidR="00A605EE" w:rsidRPr="00CE0780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 </w:t>
      </w:r>
      <w:r w:rsidRPr="00CE0780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LTD</w:t>
      </w:r>
    </w:p>
    <w:p w14:paraId="0BAF7027" w14:textId="63A208EF" w:rsidR="00CC0BDC" w:rsidRPr="00DC2CCC" w:rsidRDefault="00DE1856" w:rsidP="00C360F2">
      <w:pPr>
        <w:pStyle w:val="Textoindependiente"/>
        <w:ind w:right="116"/>
        <w:jc w:val="both"/>
        <w:rPr>
          <w:rFonts w:ascii="Arial" w:eastAsiaTheme="minorHAnsi" w:hAnsi="Arial" w:cs="Arial"/>
          <w:color w:val="615D5A"/>
          <w:sz w:val="18"/>
          <w:szCs w:val="18"/>
        </w:rPr>
      </w:pPr>
      <w:r w:rsidRPr="00CE0780">
        <w:rPr>
          <w:rFonts w:ascii="Arial" w:eastAsiaTheme="minorHAnsi" w:hAnsi="Arial" w:cs="Arial"/>
          <w:color w:val="615D5A"/>
          <w:sz w:val="18"/>
          <w:szCs w:val="18"/>
        </w:rPr>
        <w:t>Con sede en Tokio, Japón, Hitachi Astemo es una empresa conjunta de Hitachi, Ltd., Honda Motor Co., Ltd., y JIC Capital, Ltd. Hitachi Astemo es una compañía tecnológica que desarrolla, fabrica, vende y presta servicios de componentes automotrices y de transporte, así como maquinaria industrial y sistemas. Para más información, visite el sitio web de la compañía en https://www.hitachiastemo.com/en/.</w:t>
      </w:r>
    </w:p>
    <w:p w14:paraId="2530D14C" w14:textId="77777777" w:rsidR="00DC2CCC" w:rsidRDefault="00DC2CCC" w:rsidP="00C360F2">
      <w:pPr>
        <w:pStyle w:val="Textoindependiente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030416" w14:textId="46ECACBE" w:rsidR="00A62DD6" w:rsidRPr="0073723C" w:rsidRDefault="0024295A" w:rsidP="00C360F2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Acerca d</w:t>
      </w:r>
      <w:r w:rsidR="00A62DD6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46F8C0DB" w14:textId="47A30673" w:rsidR="0024295A" w:rsidRPr="00A14ED6" w:rsidRDefault="0024295A" w:rsidP="00C360F2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 w:rsidR="005B18AA"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</w:t>
      </w:r>
      <w:r w:rsidR="00515E8D" w:rsidRPr="00A14ED6">
        <w:rPr>
          <w:rFonts w:ascii="Arial" w:hAnsi="Arial" w:cs="Arial"/>
          <w:color w:val="615D5A"/>
          <w:sz w:val="18"/>
          <w:szCs w:val="18"/>
        </w:rPr>
        <w:t>de generación distribuida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 w:rsidR="00515E8D">
        <w:rPr>
          <w:rFonts w:ascii="Arial" w:hAnsi="Arial" w:cs="Arial"/>
          <w:color w:val="615D5A"/>
          <w:sz w:val="18"/>
          <w:szCs w:val="18"/>
        </w:rPr>
        <w:t>.</w:t>
      </w:r>
    </w:p>
    <w:p w14:paraId="16F41196" w14:textId="60732348" w:rsidR="00A14ED6" w:rsidRDefault="0024295A" w:rsidP="00C360F2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5AA8D608" w14:textId="77777777" w:rsidR="006759F2" w:rsidRDefault="006759F2" w:rsidP="007C1B19">
      <w:pPr>
        <w:rPr>
          <w:rFonts w:ascii="Arial" w:hAnsi="Arial" w:cs="Arial"/>
          <w:color w:val="808080"/>
          <w:sz w:val="18"/>
          <w:szCs w:val="18"/>
        </w:rPr>
      </w:pPr>
    </w:p>
    <w:p w14:paraId="05CA59D8" w14:textId="77777777" w:rsidR="006759F2" w:rsidRPr="00230C15" w:rsidRDefault="006759F2" w:rsidP="007C1B19">
      <w:pPr>
        <w:rPr>
          <w:rFonts w:ascii="Arial" w:hAnsi="Arial" w:cs="Arial"/>
          <w:sz w:val="20"/>
          <w:szCs w:val="20"/>
        </w:rPr>
      </w:pPr>
    </w:p>
    <w:sectPr w:rsidR="006759F2" w:rsidRPr="00230C1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9B25" w14:textId="77777777" w:rsidR="00ED09ED" w:rsidRDefault="00ED09ED" w:rsidP="00444826">
      <w:pPr>
        <w:spacing w:after="0" w:line="240" w:lineRule="auto"/>
      </w:pPr>
      <w:r>
        <w:separator/>
      </w:r>
    </w:p>
  </w:endnote>
  <w:endnote w:type="continuationSeparator" w:id="0">
    <w:p w14:paraId="0F040C74" w14:textId="77777777" w:rsidR="00ED09ED" w:rsidRDefault="00ED09ED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F02A" w14:textId="77777777" w:rsidR="00ED09ED" w:rsidRDefault="00ED09ED" w:rsidP="00444826">
      <w:pPr>
        <w:spacing w:after="0" w:line="240" w:lineRule="auto"/>
      </w:pPr>
      <w:r>
        <w:separator/>
      </w:r>
    </w:p>
  </w:footnote>
  <w:footnote w:type="continuationSeparator" w:id="0">
    <w:p w14:paraId="169071F2" w14:textId="77777777" w:rsidR="00ED09ED" w:rsidRDefault="00ED09ED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7E937CA5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B9">
      <w:rPr>
        <w:rFonts w:ascii="Arial" w:hAnsi="Arial" w:cs="Arial"/>
        <w:caps/>
        <w:noProof/>
      </w:rPr>
      <w:drawing>
        <wp:inline distT="0" distB="0" distL="0" distR="0" wp14:anchorId="0CBBB0FA" wp14:editId="36126C64">
          <wp:extent cx="1384002" cy="381000"/>
          <wp:effectExtent l="0" t="0" r="0" b="0"/>
          <wp:docPr id="1926869461" name="Picture 2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869461" name="Picture 2" descr="A red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2"/>
  </w:num>
  <w:num w:numId="2" w16cid:durableId="404382860">
    <w:abstractNumId w:val="0"/>
  </w:num>
  <w:num w:numId="3" w16cid:durableId="1212497202">
    <w:abstractNumId w:val="4"/>
  </w:num>
  <w:num w:numId="4" w16cid:durableId="989939622">
    <w:abstractNumId w:val="1"/>
  </w:num>
  <w:num w:numId="5" w16cid:durableId="210680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5706"/>
    <w:rsid w:val="000222C1"/>
    <w:rsid w:val="00024A75"/>
    <w:rsid w:val="0002723F"/>
    <w:rsid w:val="00032921"/>
    <w:rsid w:val="00036A43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82236"/>
    <w:rsid w:val="00084317"/>
    <w:rsid w:val="00084F7C"/>
    <w:rsid w:val="00091312"/>
    <w:rsid w:val="00092496"/>
    <w:rsid w:val="000A0F10"/>
    <w:rsid w:val="000A219B"/>
    <w:rsid w:val="000A22BB"/>
    <w:rsid w:val="000B17C5"/>
    <w:rsid w:val="000B7E2C"/>
    <w:rsid w:val="000C162E"/>
    <w:rsid w:val="000C27CB"/>
    <w:rsid w:val="000D2C86"/>
    <w:rsid w:val="000E5EF4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34CB6"/>
    <w:rsid w:val="00134E1B"/>
    <w:rsid w:val="00135D64"/>
    <w:rsid w:val="00141EB4"/>
    <w:rsid w:val="001549F8"/>
    <w:rsid w:val="00156C8D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C24A9"/>
    <w:rsid w:val="001C5A3A"/>
    <w:rsid w:val="001D5770"/>
    <w:rsid w:val="001D7725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4C58"/>
    <w:rsid w:val="00235C02"/>
    <w:rsid w:val="00237895"/>
    <w:rsid w:val="00241084"/>
    <w:rsid w:val="0024295A"/>
    <w:rsid w:val="00257769"/>
    <w:rsid w:val="00280B08"/>
    <w:rsid w:val="00282AC7"/>
    <w:rsid w:val="00282F12"/>
    <w:rsid w:val="00285762"/>
    <w:rsid w:val="002916DD"/>
    <w:rsid w:val="00292580"/>
    <w:rsid w:val="00297A58"/>
    <w:rsid w:val="002A0012"/>
    <w:rsid w:val="002A018A"/>
    <w:rsid w:val="002A070E"/>
    <w:rsid w:val="002A1BFD"/>
    <w:rsid w:val="002B2A14"/>
    <w:rsid w:val="002C01AF"/>
    <w:rsid w:val="002C148E"/>
    <w:rsid w:val="002D17F8"/>
    <w:rsid w:val="002D294F"/>
    <w:rsid w:val="002D61FC"/>
    <w:rsid w:val="002E0259"/>
    <w:rsid w:val="002E1C46"/>
    <w:rsid w:val="002E3F32"/>
    <w:rsid w:val="002F27C9"/>
    <w:rsid w:val="002F5562"/>
    <w:rsid w:val="002F57FE"/>
    <w:rsid w:val="00316BAD"/>
    <w:rsid w:val="003368BB"/>
    <w:rsid w:val="00340D36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A0F8A"/>
    <w:rsid w:val="003B249E"/>
    <w:rsid w:val="003C0567"/>
    <w:rsid w:val="003C6D8A"/>
    <w:rsid w:val="003C7232"/>
    <w:rsid w:val="003C72B1"/>
    <w:rsid w:val="003E26B8"/>
    <w:rsid w:val="003E6278"/>
    <w:rsid w:val="003F47ED"/>
    <w:rsid w:val="004008BB"/>
    <w:rsid w:val="00410857"/>
    <w:rsid w:val="0041749B"/>
    <w:rsid w:val="00425848"/>
    <w:rsid w:val="0042608B"/>
    <w:rsid w:val="0043326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A0CAE"/>
    <w:rsid w:val="004A0E7F"/>
    <w:rsid w:val="004A28E7"/>
    <w:rsid w:val="004A685F"/>
    <w:rsid w:val="004B3202"/>
    <w:rsid w:val="004D4094"/>
    <w:rsid w:val="004E511E"/>
    <w:rsid w:val="004E6123"/>
    <w:rsid w:val="004F656C"/>
    <w:rsid w:val="00502D8B"/>
    <w:rsid w:val="00510E6C"/>
    <w:rsid w:val="00515E8D"/>
    <w:rsid w:val="005264BD"/>
    <w:rsid w:val="005265B7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B11F1"/>
    <w:rsid w:val="005B18AA"/>
    <w:rsid w:val="005B5CC0"/>
    <w:rsid w:val="005C1ED8"/>
    <w:rsid w:val="005D05B2"/>
    <w:rsid w:val="005D0D55"/>
    <w:rsid w:val="005E21B9"/>
    <w:rsid w:val="005F2AC8"/>
    <w:rsid w:val="005F3028"/>
    <w:rsid w:val="005F424D"/>
    <w:rsid w:val="005F44C5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86127"/>
    <w:rsid w:val="0069048D"/>
    <w:rsid w:val="00694612"/>
    <w:rsid w:val="006A7F4B"/>
    <w:rsid w:val="006C70BE"/>
    <w:rsid w:val="006C7583"/>
    <w:rsid w:val="006D0BC5"/>
    <w:rsid w:val="006D5388"/>
    <w:rsid w:val="006E12DF"/>
    <w:rsid w:val="006E23D2"/>
    <w:rsid w:val="006E39F5"/>
    <w:rsid w:val="006E510C"/>
    <w:rsid w:val="00702417"/>
    <w:rsid w:val="00707A72"/>
    <w:rsid w:val="00707E88"/>
    <w:rsid w:val="00715F31"/>
    <w:rsid w:val="00717F98"/>
    <w:rsid w:val="007258BC"/>
    <w:rsid w:val="00731837"/>
    <w:rsid w:val="00735007"/>
    <w:rsid w:val="007352D0"/>
    <w:rsid w:val="0073723C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B383B"/>
    <w:rsid w:val="007B400F"/>
    <w:rsid w:val="007B7989"/>
    <w:rsid w:val="007C1B19"/>
    <w:rsid w:val="007D1187"/>
    <w:rsid w:val="007D1498"/>
    <w:rsid w:val="007D24E2"/>
    <w:rsid w:val="007E0E20"/>
    <w:rsid w:val="007E2117"/>
    <w:rsid w:val="007E3E9D"/>
    <w:rsid w:val="007E41FF"/>
    <w:rsid w:val="007E48E9"/>
    <w:rsid w:val="007E7EA5"/>
    <w:rsid w:val="007F2870"/>
    <w:rsid w:val="0080261C"/>
    <w:rsid w:val="00802F37"/>
    <w:rsid w:val="00807610"/>
    <w:rsid w:val="00816C1E"/>
    <w:rsid w:val="00837A25"/>
    <w:rsid w:val="00847D03"/>
    <w:rsid w:val="0085152B"/>
    <w:rsid w:val="00853C8B"/>
    <w:rsid w:val="00857EE0"/>
    <w:rsid w:val="008614AC"/>
    <w:rsid w:val="008660F3"/>
    <w:rsid w:val="008722C6"/>
    <w:rsid w:val="00872E61"/>
    <w:rsid w:val="00874264"/>
    <w:rsid w:val="00877E29"/>
    <w:rsid w:val="0088639F"/>
    <w:rsid w:val="00894714"/>
    <w:rsid w:val="008A1B7F"/>
    <w:rsid w:val="008B6571"/>
    <w:rsid w:val="008B7BAC"/>
    <w:rsid w:val="008D1CE4"/>
    <w:rsid w:val="008D2ACB"/>
    <w:rsid w:val="008D63FD"/>
    <w:rsid w:val="008E009B"/>
    <w:rsid w:val="008E4D91"/>
    <w:rsid w:val="008F6A21"/>
    <w:rsid w:val="0090071C"/>
    <w:rsid w:val="00915188"/>
    <w:rsid w:val="00922283"/>
    <w:rsid w:val="009257C8"/>
    <w:rsid w:val="009326C7"/>
    <w:rsid w:val="00932828"/>
    <w:rsid w:val="009431D2"/>
    <w:rsid w:val="00950A83"/>
    <w:rsid w:val="0095334F"/>
    <w:rsid w:val="00967B62"/>
    <w:rsid w:val="0098422E"/>
    <w:rsid w:val="00991CDA"/>
    <w:rsid w:val="009957C6"/>
    <w:rsid w:val="009A0125"/>
    <w:rsid w:val="009A312E"/>
    <w:rsid w:val="009B1B16"/>
    <w:rsid w:val="009B5809"/>
    <w:rsid w:val="009B6989"/>
    <w:rsid w:val="009C0DDD"/>
    <w:rsid w:val="009C0DF3"/>
    <w:rsid w:val="009C7BF0"/>
    <w:rsid w:val="009D1B15"/>
    <w:rsid w:val="009E15B6"/>
    <w:rsid w:val="009E3075"/>
    <w:rsid w:val="009F72D2"/>
    <w:rsid w:val="00A0052A"/>
    <w:rsid w:val="00A020F7"/>
    <w:rsid w:val="00A06B4F"/>
    <w:rsid w:val="00A07D10"/>
    <w:rsid w:val="00A11EC6"/>
    <w:rsid w:val="00A14ED6"/>
    <w:rsid w:val="00A167BF"/>
    <w:rsid w:val="00A16E8B"/>
    <w:rsid w:val="00A36C5E"/>
    <w:rsid w:val="00A4396F"/>
    <w:rsid w:val="00A4779B"/>
    <w:rsid w:val="00A50F7B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7849"/>
    <w:rsid w:val="00AA1446"/>
    <w:rsid w:val="00AA62C4"/>
    <w:rsid w:val="00AB1638"/>
    <w:rsid w:val="00AB20E6"/>
    <w:rsid w:val="00AB2774"/>
    <w:rsid w:val="00AB666D"/>
    <w:rsid w:val="00AC24C4"/>
    <w:rsid w:val="00AC3932"/>
    <w:rsid w:val="00AC46E3"/>
    <w:rsid w:val="00AE4479"/>
    <w:rsid w:val="00AE46A6"/>
    <w:rsid w:val="00AE7DDF"/>
    <w:rsid w:val="00B013EB"/>
    <w:rsid w:val="00B04032"/>
    <w:rsid w:val="00B041F1"/>
    <w:rsid w:val="00B20C91"/>
    <w:rsid w:val="00B22B36"/>
    <w:rsid w:val="00B23431"/>
    <w:rsid w:val="00B31EBF"/>
    <w:rsid w:val="00B34CBD"/>
    <w:rsid w:val="00B41BBA"/>
    <w:rsid w:val="00B4664F"/>
    <w:rsid w:val="00B5510C"/>
    <w:rsid w:val="00B73B38"/>
    <w:rsid w:val="00B83138"/>
    <w:rsid w:val="00B84F41"/>
    <w:rsid w:val="00B95FCD"/>
    <w:rsid w:val="00BB6FCE"/>
    <w:rsid w:val="00BB7B36"/>
    <w:rsid w:val="00BC3938"/>
    <w:rsid w:val="00BD2B8B"/>
    <w:rsid w:val="00BE0056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7CAA"/>
    <w:rsid w:val="00C2133A"/>
    <w:rsid w:val="00C245DC"/>
    <w:rsid w:val="00C24D13"/>
    <w:rsid w:val="00C3221C"/>
    <w:rsid w:val="00C360F2"/>
    <w:rsid w:val="00C56BAD"/>
    <w:rsid w:val="00C56C87"/>
    <w:rsid w:val="00C57820"/>
    <w:rsid w:val="00C57A28"/>
    <w:rsid w:val="00C60E25"/>
    <w:rsid w:val="00C60FD3"/>
    <w:rsid w:val="00C64B23"/>
    <w:rsid w:val="00C658B8"/>
    <w:rsid w:val="00C70C5B"/>
    <w:rsid w:val="00C74417"/>
    <w:rsid w:val="00C75163"/>
    <w:rsid w:val="00C8086B"/>
    <w:rsid w:val="00CA1657"/>
    <w:rsid w:val="00CA3930"/>
    <w:rsid w:val="00CB4C2E"/>
    <w:rsid w:val="00CB670A"/>
    <w:rsid w:val="00CC0BDC"/>
    <w:rsid w:val="00CC5F2C"/>
    <w:rsid w:val="00CD2B3C"/>
    <w:rsid w:val="00CD4480"/>
    <w:rsid w:val="00CE0780"/>
    <w:rsid w:val="00CE12AA"/>
    <w:rsid w:val="00CE1D52"/>
    <w:rsid w:val="00CE50EA"/>
    <w:rsid w:val="00CF0FA3"/>
    <w:rsid w:val="00CF410A"/>
    <w:rsid w:val="00D04115"/>
    <w:rsid w:val="00D06DC5"/>
    <w:rsid w:val="00D31D07"/>
    <w:rsid w:val="00D45066"/>
    <w:rsid w:val="00D455DF"/>
    <w:rsid w:val="00D46780"/>
    <w:rsid w:val="00D512D1"/>
    <w:rsid w:val="00D53D1E"/>
    <w:rsid w:val="00D544D7"/>
    <w:rsid w:val="00D57CE0"/>
    <w:rsid w:val="00D6164A"/>
    <w:rsid w:val="00D702B6"/>
    <w:rsid w:val="00D74C75"/>
    <w:rsid w:val="00DA5874"/>
    <w:rsid w:val="00DA71B2"/>
    <w:rsid w:val="00DC0B50"/>
    <w:rsid w:val="00DC2010"/>
    <w:rsid w:val="00DC2CCC"/>
    <w:rsid w:val="00DC5221"/>
    <w:rsid w:val="00DE17B9"/>
    <w:rsid w:val="00DE1856"/>
    <w:rsid w:val="00DE1FA4"/>
    <w:rsid w:val="00DE48CC"/>
    <w:rsid w:val="00DF0B2F"/>
    <w:rsid w:val="00DF2E63"/>
    <w:rsid w:val="00DF3B8E"/>
    <w:rsid w:val="00DF45C6"/>
    <w:rsid w:val="00DF4BBB"/>
    <w:rsid w:val="00DF5260"/>
    <w:rsid w:val="00E03DE5"/>
    <w:rsid w:val="00E06DC2"/>
    <w:rsid w:val="00E108CF"/>
    <w:rsid w:val="00E16A5A"/>
    <w:rsid w:val="00E232AA"/>
    <w:rsid w:val="00E2357C"/>
    <w:rsid w:val="00E30B11"/>
    <w:rsid w:val="00E31A44"/>
    <w:rsid w:val="00E33900"/>
    <w:rsid w:val="00E33F80"/>
    <w:rsid w:val="00E565A3"/>
    <w:rsid w:val="00E57286"/>
    <w:rsid w:val="00E57BAC"/>
    <w:rsid w:val="00E6077C"/>
    <w:rsid w:val="00E65D92"/>
    <w:rsid w:val="00E676D4"/>
    <w:rsid w:val="00EA515A"/>
    <w:rsid w:val="00EA7F1D"/>
    <w:rsid w:val="00EB7208"/>
    <w:rsid w:val="00EC3E74"/>
    <w:rsid w:val="00EC489A"/>
    <w:rsid w:val="00EC70D0"/>
    <w:rsid w:val="00ED09ED"/>
    <w:rsid w:val="00EE5094"/>
    <w:rsid w:val="00EF1F1B"/>
    <w:rsid w:val="00F01DDB"/>
    <w:rsid w:val="00F02137"/>
    <w:rsid w:val="00F20843"/>
    <w:rsid w:val="00F313C4"/>
    <w:rsid w:val="00F52601"/>
    <w:rsid w:val="00F5313E"/>
    <w:rsid w:val="00F5559C"/>
    <w:rsid w:val="00F60295"/>
    <w:rsid w:val="00F60795"/>
    <w:rsid w:val="00F60ACB"/>
    <w:rsid w:val="00F64AA8"/>
    <w:rsid w:val="00F7794F"/>
    <w:rsid w:val="00F97C6C"/>
    <w:rsid w:val="00FB247D"/>
    <w:rsid w:val="00FB6404"/>
    <w:rsid w:val="00FC051F"/>
    <w:rsid w:val="00FC2EA0"/>
    <w:rsid w:val="00FD0F4A"/>
    <w:rsid w:val="00FD1FD2"/>
    <w:rsid w:val="00FD4496"/>
    <w:rsid w:val="00FD5FC4"/>
    <w:rsid w:val="00FE0C5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5</cp:revision>
  <cp:lastPrinted>2023-09-26T16:50:00Z</cp:lastPrinted>
  <dcterms:created xsi:type="dcterms:W3CDTF">2024-07-18T17:09:00Z</dcterms:created>
  <dcterms:modified xsi:type="dcterms:W3CDTF">2024-07-18T17:36:00Z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